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様式第１号別紙２（第５条関係）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移住支援事業に係る個人情報の取扱い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広島県及び熊野町は、移住支援事業の実施に際して得た個人情報について、個人情報の保護に関する法律</w:t>
      </w:r>
      <w:bookmarkStart w:id="0" w:name="_GoBack"/>
      <w:bookmarkEnd w:id="0"/>
      <w:r>
        <w:rPr>
          <w:rFonts w:hint="eastAsia"/>
          <w:sz w:val="24"/>
        </w:rPr>
        <w:t>等の規定に基づき適切に管理し、本事業の実施のために利用します。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　また、広島県及び熊野町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33</Words>
  <Characters>193</Characters>
  <Application>JUST Note</Application>
  <Lines>1</Lines>
  <Paragraphs>1</Paragraphs>
  <Company>内閣府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伊原　友洋</cp:lastModifiedBy>
  <dcterms:created xsi:type="dcterms:W3CDTF">2018-11-26T12:11:00Z</dcterms:created>
  <dcterms:modified xsi:type="dcterms:W3CDTF">2023-03-30T23:37:21Z</dcterms:modified>
  <cp:revision>5</cp:revision>
</cp:coreProperties>
</file>