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rPr>
      </w:pPr>
      <w:r>
        <w:rPr>
          <w:rFonts w:hint="eastAsia" w:asciiTheme="majorEastAsia" w:hAnsiTheme="majorEastAsia" w:eastAsiaTheme="majorEastAsia"/>
        </w:rPr>
        <w:t>令和６年度熊野町における障害者就労施設等からの物品等の調達方針</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１　目的</w:t>
      </w:r>
    </w:p>
    <w:p>
      <w:pPr>
        <w:pStyle w:val="0"/>
        <w:ind w:left="210" w:hanging="210" w:hangingChars="100"/>
        <w:rPr>
          <w:rFonts w:hint="default"/>
        </w:rPr>
      </w:pPr>
      <w:r>
        <w:rPr>
          <w:rFonts w:hint="eastAsia"/>
        </w:rPr>
        <w:t>　　本方針は、国等による障害者就労施設等からの物品等の調達の推進等に関する法律（平成２４年法律第５０号。以下「障害者優先調達推進法」という。）第９条の規定に基づき、障害者就労施設等で就労する障害者の自立の促進に資するため、町が行う物品及び役務（以下「物品等」という。）の調達に際し、障害者就労施設等からの調達の推進を図ることを目的とする。</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２　対象とする物品等</w:t>
      </w:r>
    </w:p>
    <w:p>
      <w:pPr>
        <w:pStyle w:val="0"/>
        <w:ind w:left="210" w:hanging="210" w:hangingChars="100"/>
        <w:rPr>
          <w:rFonts w:hint="default"/>
        </w:rPr>
      </w:pPr>
      <w:r>
        <w:rPr>
          <w:rFonts w:hint="eastAsia"/>
        </w:rPr>
        <w:t>　　町が契約によって調達する物品等のうち、各種物品、清掃、業務委託その他障害者就労施設等が受注することが可能なもの。（別紙</w:t>
      </w:r>
      <w:r>
        <w:rPr>
          <w:rFonts w:hint="eastAsia"/>
        </w:rPr>
        <w:t xml:space="preserve"> </w:t>
      </w:r>
      <w:r>
        <w:rPr>
          <w:rFonts w:hint="eastAsia"/>
        </w:rPr>
        <w:t>「物品・役務の品目分類」</w:t>
      </w:r>
      <w:bookmarkStart w:id="0" w:name="_GoBack"/>
      <w:bookmarkEnd w:id="0"/>
      <w:r>
        <w:rPr>
          <w:rFonts w:hint="eastAsia"/>
        </w:rPr>
        <w:t>参照）</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３　対象とする施設等</w:t>
      </w:r>
    </w:p>
    <w:p>
      <w:pPr>
        <w:pStyle w:val="0"/>
        <w:ind w:left="210" w:hanging="210" w:hangingChars="100"/>
        <w:rPr>
          <w:rFonts w:hint="default"/>
        </w:rPr>
      </w:pPr>
      <w:r>
        <w:rPr>
          <w:rFonts w:hint="eastAsia"/>
        </w:rPr>
        <w:t>　　本方針の対象となる施設等は、障害者優先調達推進法第２条第２項から第４項までに規定する次の障害者就労施設等とする。</w:t>
      </w:r>
    </w:p>
    <w:p>
      <w:pPr>
        <w:pStyle w:val="0"/>
        <w:ind w:left="210" w:hanging="210" w:hangingChars="100"/>
        <w:rPr>
          <w:rFonts w:hint="default"/>
        </w:rPr>
      </w:pPr>
      <w:r>
        <w:rPr>
          <w:rFonts w:hint="eastAsia"/>
        </w:rPr>
        <w:t>　（１）障害者支援施設</w:t>
      </w:r>
    </w:p>
    <w:p>
      <w:pPr>
        <w:pStyle w:val="0"/>
        <w:ind w:left="210" w:hanging="210" w:hangingChars="100"/>
        <w:rPr>
          <w:rFonts w:hint="default"/>
        </w:rPr>
      </w:pPr>
      <w:r>
        <w:rPr>
          <w:rFonts w:hint="eastAsia"/>
        </w:rPr>
        <w:t>　（２）地域活動支援センター</w:t>
      </w:r>
    </w:p>
    <w:p>
      <w:pPr>
        <w:pStyle w:val="0"/>
        <w:ind w:left="630" w:hanging="630" w:hangingChars="300"/>
        <w:rPr>
          <w:rFonts w:hint="default"/>
        </w:rPr>
      </w:pPr>
      <w:r>
        <w:rPr>
          <w:rFonts w:hint="eastAsia"/>
        </w:rPr>
        <w:t>　（３）障害者福祉サービス事業を行う施設（生活介護、就労移行支援又は就労継続支援を行う事業に限る。）</w:t>
      </w:r>
    </w:p>
    <w:p>
      <w:pPr>
        <w:pStyle w:val="0"/>
        <w:ind w:left="630" w:hanging="630" w:hangingChars="300"/>
        <w:rPr>
          <w:rFonts w:hint="default"/>
        </w:rPr>
      </w:pPr>
      <w:r>
        <w:rPr>
          <w:rFonts w:hint="eastAsia"/>
        </w:rPr>
        <w:t>　（４）障害者の地域における作業活動の場として障害者基本法（昭和４５年法律８４号）第１８条第３項の規定により必要な費用の助成を受けている施設（小規模作業所）</w:t>
      </w:r>
    </w:p>
    <w:p>
      <w:pPr>
        <w:pStyle w:val="0"/>
        <w:ind w:left="630" w:hanging="630" w:hangingChars="300"/>
        <w:rPr>
          <w:rFonts w:hint="default"/>
        </w:rPr>
      </w:pPr>
      <w:r>
        <w:rPr>
          <w:rFonts w:hint="eastAsia"/>
        </w:rPr>
        <w:t>　（５）障害者優先調達推進法施行令（平成２５年政令第２２号）第１条第１号に規定する事業所（特例子会社）</w:t>
      </w:r>
    </w:p>
    <w:p>
      <w:pPr>
        <w:pStyle w:val="0"/>
        <w:ind w:left="630" w:hanging="630" w:hangingChars="300"/>
        <w:rPr>
          <w:rFonts w:hint="default"/>
        </w:rPr>
      </w:pPr>
      <w:r>
        <w:rPr>
          <w:rFonts w:hint="eastAsia"/>
        </w:rPr>
        <w:t>　（６）障害者優先調達推進法施行令（平成２５年政令第２２号）第１条第２号に規定する事業所（重度障害者多数雇用事業所）</w:t>
      </w:r>
    </w:p>
    <w:p>
      <w:pPr>
        <w:pStyle w:val="0"/>
        <w:ind w:left="210" w:hanging="210" w:hangingChars="100"/>
        <w:rPr>
          <w:rFonts w:hint="default"/>
        </w:rPr>
      </w:pPr>
      <w:r>
        <w:rPr>
          <w:rFonts w:hint="eastAsia"/>
        </w:rPr>
        <w:t>　（７）在宅就業障害者</w:t>
      </w:r>
    </w:p>
    <w:p>
      <w:pPr>
        <w:pStyle w:val="0"/>
        <w:ind w:left="210" w:hanging="210" w:hangingChars="100"/>
        <w:rPr>
          <w:rFonts w:hint="default"/>
        </w:rPr>
      </w:pPr>
      <w:r>
        <w:rPr>
          <w:rFonts w:hint="eastAsia"/>
        </w:rPr>
        <w:t>　（８）在宅就業支援団体</w:t>
      </w: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４　物品等の調達目標</w:t>
      </w:r>
    </w:p>
    <w:p>
      <w:pPr>
        <w:pStyle w:val="0"/>
        <w:ind w:left="210" w:hanging="210" w:hangingChars="100"/>
        <w:rPr>
          <w:rFonts w:hint="default"/>
        </w:rPr>
      </w:pPr>
      <w:r>
        <w:rPr>
          <w:rFonts w:hint="eastAsia"/>
        </w:rPr>
        <w:t>　　町は、予算の適正な使用、契約における経済性、公正性及び競争性に留意しつつ、本方針の目的に沿うために、障害者就労施設等からの物品等の調達の推進に努める。</w:t>
      </w: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５　物品等の調達の推進方法</w:t>
      </w:r>
    </w:p>
    <w:p>
      <w:pPr>
        <w:pStyle w:val="0"/>
        <w:ind w:left="840" w:hanging="840" w:hangingChars="400"/>
        <w:rPr>
          <w:rFonts w:hint="default"/>
        </w:rPr>
      </w:pPr>
      <w:r>
        <w:rPr>
          <w:rFonts w:hint="eastAsia"/>
        </w:rPr>
        <w:t>　　障害者就労施設等からの物品等の調達を推進するため、次の取り組みを行う。</w:t>
      </w:r>
    </w:p>
    <w:p>
      <w:pPr>
        <w:pStyle w:val="0"/>
        <w:ind w:left="840" w:hanging="840" w:hangingChars="400"/>
        <w:rPr>
          <w:rFonts w:hint="default"/>
        </w:rPr>
      </w:pPr>
      <w:r>
        <w:rPr>
          <w:rFonts w:hint="eastAsia"/>
        </w:rPr>
        <w:t>（１）調達に必要な情報の提供</w:t>
      </w:r>
    </w:p>
    <w:p>
      <w:pPr>
        <w:pStyle w:val="0"/>
        <w:ind w:left="840" w:hanging="840" w:hangingChars="400"/>
        <w:rPr>
          <w:rFonts w:hint="default"/>
        </w:rPr>
      </w:pPr>
      <w:r>
        <w:rPr>
          <w:rFonts w:hint="eastAsia"/>
        </w:rPr>
        <w:t>　　ア　障害者就労施設等が受注可能な物品等の情報収集を行い、各課がその情報を共有できるよう努める。</w:t>
      </w:r>
    </w:p>
    <w:p>
      <w:pPr>
        <w:pStyle w:val="0"/>
        <w:ind w:left="840" w:hanging="840" w:hangingChars="400"/>
        <w:rPr>
          <w:rFonts w:hint="default"/>
        </w:rPr>
      </w:pPr>
      <w:r>
        <w:rPr>
          <w:rFonts w:hint="eastAsia"/>
        </w:rPr>
        <w:t>　　イ　障害者就労施設等に発注予定の物品等について、情報収集に努め、障害者就労施設等に随時情報を提供する。</w:t>
      </w:r>
    </w:p>
    <w:p>
      <w:pPr>
        <w:pStyle w:val="0"/>
        <w:ind w:left="840" w:hanging="840" w:hangingChars="400"/>
        <w:rPr>
          <w:rFonts w:hint="default"/>
        </w:rPr>
      </w:pPr>
      <w:r>
        <w:rPr>
          <w:rFonts w:hint="eastAsia"/>
        </w:rPr>
        <w:t>（２）障害者就労施設等の供給能力の向上</w:t>
      </w:r>
    </w:p>
    <w:p>
      <w:pPr>
        <w:pStyle w:val="0"/>
        <w:ind w:left="424" w:hanging="424" w:hangingChars="202"/>
        <w:rPr>
          <w:rFonts w:hint="default"/>
        </w:rPr>
      </w:pPr>
      <w:r>
        <w:rPr>
          <w:rFonts w:hint="eastAsia"/>
        </w:rPr>
        <w:t>　　　障害者就労施設等がその供給する物品等について、質の向上及び供給の円滑化のために行う取り組みの支援に努める。</w:t>
      </w:r>
    </w:p>
    <w:p>
      <w:pPr>
        <w:pStyle w:val="0"/>
        <w:ind w:left="840" w:hanging="840" w:hangingChars="400"/>
        <w:rPr>
          <w:rFonts w:hint="default"/>
        </w:rPr>
      </w:pPr>
      <w:r>
        <w:rPr>
          <w:rFonts w:hint="eastAsia"/>
        </w:rPr>
        <w:t>（３）障害者就労施設等の受注機会増大のための措置</w:t>
      </w:r>
    </w:p>
    <w:p>
      <w:pPr>
        <w:pStyle w:val="0"/>
        <w:ind w:left="424" w:hanging="424" w:hangingChars="202"/>
        <w:rPr>
          <w:rFonts w:hint="default"/>
        </w:rPr>
      </w:pPr>
      <w:r>
        <w:rPr>
          <w:rFonts w:hint="eastAsia"/>
        </w:rPr>
        <w:t>　　　物品等の調達にあたっては、適正な価格、機能及び品質を確保しつつ、次の観点についても配慮することとする。</w:t>
      </w:r>
    </w:p>
    <w:p>
      <w:pPr>
        <w:pStyle w:val="0"/>
        <w:ind w:left="634" w:hanging="634" w:hangingChars="302"/>
        <w:rPr>
          <w:rFonts w:hint="default"/>
        </w:rPr>
      </w:pPr>
      <w:r>
        <w:rPr>
          <w:rFonts w:hint="eastAsia"/>
        </w:rPr>
        <w:t>　　ア　物品等の調達が新たに生じた場合には、障害者就労施設等からの調達の可能性について検討するよう努める。</w:t>
      </w:r>
    </w:p>
    <w:p>
      <w:pPr>
        <w:pStyle w:val="0"/>
        <w:ind w:left="634" w:hanging="634" w:hangingChars="302"/>
        <w:rPr>
          <w:rFonts w:hint="default"/>
        </w:rPr>
      </w:pPr>
      <w:r>
        <w:rPr>
          <w:rFonts w:hint="eastAsia"/>
        </w:rPr>
        <w:t>　　イ　物品等の調達について、障害者就労施設等からの調達が可能となるよう可能な限り分離分割発注を行うなど発注方法を考慮するように努める。</w:t>
      </w:r>
    </w:p>
    <w:p>
      <w:pPr>
        <w:pStyle w:val="0"/>
        <w:ind w:left="634" w:hanging="634" w:hangingChars="302"/>
        <w:rPr>
          <w:rFonts w:hint="default"/>
        </w:rPr>
      </w:pPr>
      <w:r>
        <w:rPr>
          <w:rFonts w:hint="eastAsia"/>
        </w:rPr>
        <w:t>　　ウ　物品等の調達について、障害者就労施設等からの調達が可能となるよう履行期間及び発注量を考慮するように努める。</w:t>
      </w:r>
    </w:p>
    <w:p>
      <w:pPr>
        <w:pStyle w:val="0"/>
        <w:ind w:left="634" w:hanging="634" w:hangingChars="302"/>
        <w:rPr>
          <w:rFonts w:hint="default"/>
        </w:rPr>
      </w:pPr>
      <w:r>
        <w:rPr>
          <w:rFonts w:hint="eastAsia"/>
        </w:rPr>
        <w:t>　　エ　物品等の調達に際しては、障害者就労施設等からの調達が可能となるよう、性能、規格等必要な事項について、障害者就労施設等に対し十分な説明に努める。</w:t>
      </w:r>
    </w:p>
    <w:p>
      <w:pPr>
        <w:pStyle w:val="0"/>
        <w:ind w:left="634" w:hanging="634" w:hangingChars="302"/>
        <w:rPr>
          <w:rFonts w:hint="default"/>
        </w:rPr>
      </w:pPr>
      <w:r>
        <w:rPr>
          <w:rFonts w:hint="eastAsia"/>
        </w:rPr>
        <w:t>　　オ　物品等の調達を障害者就労施設等に斡旋、仲介する等の業務を行う共同受注窓口を活用し発注の推進に努める。</w:t>
      </w:r>
    </w:p>
    <w:p>
      <w:pPr>
        <w:pStyle w:val="0"/>
        <w:ind w:left="840" w:hanging="840" w:hangingChars="400"/>
        <w:rPr>
          <w:rFonts w:hint="default"/>
        </w:rPr>
      </w:pPr>
      <w:r>
        <w:rPr>
          <w:rFonts w:hint="eastAsia"/>
        </w:rPr>
        <w:t>（４）随意契約による調達</w:t>
      </w:r>
    </w:p>
    <w:p>
      <w:pPr>
        <w:pStyle w:val="0"/>
        <w:ind w:left="424" w:hanging="424" w:hangingChars="202"/>
        <w:rPr>
          <w:rFonts w:hint="default"/>
        </w:rPr>
      </w:pPr>
      <w:r>
        <w:rPr>
          <w:rFonts w:hint="eastAsia"/>
        </w:rPr>
        <w:t>　　　障害者就労施設等からの物品等の調達に際しては、地方自治法施行令（昭和２２年政令第１６号）第１６７条の２第１項第３号の規定による随意契約を積極的に活用する。</w:t>
      </w: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６　調達実績の公表</w:t>
      </w:r>
    </w:p>
    <w:p>
      <w:pPr>
        <w:pStyle w:val="0"/>
        <w:ind w:left="840" w:hanging="840" w:hangingChars="400"/>
        <w:rPr>
          <w:rFonts w:hint="default"/>
        </w:rPr>
      </w:pPr>
      <w:r>
        <w:rPr>
          <w:rFonts w:hint="eastAsia"/>
        </w:rPr>
        <w:t>　　町は調達の実績について、年度終了後に、その概要を取りまとめ、公表するものとする。</w:t>
      </w: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r>
        <w:rPr>
          <w:rFonts w:hint="eastAsia"/>
        </w:rPr>
        <w:t>別紙</w:t>
      </w:r>
    </w:p>
    <w:p>
      <w:pPr>
        <w:pStyle w:val="0"/>
        <w:ind w:left="840" w:hanging="840" w:hangingChars="400"/>
        <w:rPr>
          <w:rFonts w:hint="default"/>
        </w:rPr>
      </w:pPr>
      <w:r>
        <w:rPr>
          <w:rFonts w:hint="eastAsia" w:asciiTheme="minorEastAsia" w:hAnsiTheme="minorEastAsia" w:eastAsiaTheme="minorEastAsia"/>
          <w:b w:val="0"/>
          <w:i w:val="0"/>
          <w:smallCaps w:val="0"/>
          <w:sz w:val="21"/>
        </w:rPr>
        <w:t>【物品・役務の品目分類】</w:t>
      </w:r>
    </w:p>
    <w:tbl>
      <w:tblPr>
        <w:tblStyle w:val="11"/>
        <w:tblW w:w="5198" w:type="pct"/>
        <w:tblInd w:w="-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900"/>
        <w:gridCol w:w="2880"/>
        <w:gridCol w:w="5040"/>
      </w:tblGrid>
      <w:tr>
        <w:trPr>
          <w:trHeight w:val="1020" w:hRule="atLeast"/>
        </w:trPr>
        <w:tc>
          <w:tcPr>
            <w:tcW w:w="510" w:type="pct"/>
            <w:tcBorders>
              <w:top w:val="single" w:color="000000" w:sz="8" w:space="0"/>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　種別</w:t>
            </w:r>
          </w:p>
        </w:tc>
        <w:tc>
          <w:tcPr>
            <w:tcW w:w="1633" w:type="pct"/>
            <w:tcBorders>
              <w:top w:val="single" w:color="000000" w:sz="8"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jc w:val="left"/>
              <w:rPr>
                <w:rFonts w:hint="eastAsia" w:asciiTheme="minorEastAsia" w:hAnsiTheme="minorEastAsia" w:eastAsiaTheme="minorEastAsia"/>
                <w:b w:val="0"/>
                <w:sz w:val="21"/>
              </w:rPr>
            </w:pPr>
            <w:r>
              <w:rPr>
                <w:rFonts w:hint="eastAsia" w:asciiTheme="minorEastAsia" w:hAnsiTheme="minorEastAsia" w:eastAsiaTheme="minorEastAsia"/>
                <w:b w:val="0"/>
                <w:i w:val="0"/>
                <w:smallCaps w:val="0"/>
                <w:sz w:val="21"/>
              </w:rPr>
              <w:t>品目</w:t>
            </w:r>
          </w:p>
        </w:tc>
        <w:tc>
          <w:tcPr>
            <w:tcW w:w="2857" w:type="pct"/>
            <w:tcBorders>
              <w:top w:val="single" w:color="000000" w:sz="8"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ind w:firstLine="210" w:firstLineChars="100"/>
              <w:jc w:val="left"/>
              <w:rPr>
                <w:rFonts w:hint="eastAsia" w:asciiTheme="minorEastAsia" w:hAnsiTheme="minorEastAsia" w:eastAsiaTheme="minorEastAsia"/>
                <w:b w:val="0"/>
                <w:sz w:val="21"/>
              </w:rPr>
            </w:pPr>
            <w:r>
              <w:rPr>
                <w:rFonts w:hint="eastAsia" w:asciiTheme="minorEastAsia" w:hAnsiTheme="minorEastAsia" w:eastAsiaTheme="minorEastAsia"/>
                <w:b w:val="0"/>
                <w:i w:val="0"/>
                <w:smallCaps w:val="0"/>
                <w:sz w:val="21"/>
              </w:rPr>
              <w:t>具体例</w:t>
            </w:r>
          </w:p>
        </w:tc>
      </w:tr>
      <w:tr>
        <w:trPr>
          <w:trHeight w:val="1020" w:hRule="atLeast"/>
        </w:trPr>
        <w:tc>
          <w:tcPr>
            <w:tcW w:w="510" w:type="pct"/>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top"/>
          </w:tcPr>
          <w:p>
            <w:pPr>
              <w:pStyle w:val="0"/>
              <w:ind w:firstLine="0" w:firstLineChars="100"/>
              <w:jc w:val="both"/>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物品</w:t>
            </w:r>
          </w:p>
        </w:tc>
        <w:tc>
          <w:tcPr>
            <w:tcW w:w="1633" w:type="pct"/>
            <w:tcBorders>
              <w:top w:val="single" w:color="000000" w:sz="8"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①事務用品・書籍</w:t>
            </w:r>
          </w:p>
        </w:tc>
        <w:tc>
          <w:tcPr>
            <w:tcW w:w="2857" w:type="pct"/>
            <w:tcBorders>
              <w:top w:val="single" w:color="000000" w:sz="8"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筆記具、事務用具、用紙、封筒、ゴム印、書籍　など</w:t>
            </w:r>
          </w:p>
        </w:tc>
      </w:tr>
      <w:tr>
        <w:trPr>
          <w:trHeight w:val="102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②食料品・飲料</w:t>
            </w:r>
          </w:p>
        </w:tc>
        <w:tc>
          <w:tcPr>
            <w:tcW w:w="2857" w:type="pct"/>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パン、弁当・おにぎり、麺類、加工食品、菓子類、飲料、コーヒー・茶、米、野菜、果物　など</w:t>
            </w:r>
          </w:p>
        </w:tc>
      </w:tr>
      <w:tr>
        <w:trPr>
          <w:trHeight w:val="102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③小物雑貨</w:t>
            </w:r>
          </w:p>
        </w:tc>
        <w:tc>
          <w:tcPr>
            <w:tcW w:w="2857" w:type="pct"/>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衣服・身の回り品・装身具、食器類、絵画・彫刻、木工品・金工品・刺繍品・陶磁器・ガラス製品、おもちゃ・人形、楽器、各種記念品、清掃用具、防災用品、非常食、花苗　など</w:t>
            </w:r>
          </w:p>
        </w:tc>
      </w:tr>
      <w:tr>
        <w:trPr>
          <w:trHeight w:val="102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④その他の物品</w:t>
            </w:r>
          </w:p>
        </w:tc>
        <w:tc>
          <w:tcPr>
            <w:tcW w:w="2857" w:type="pct"/>
            <w:tcBorders>
              <w:top w:val="single" w:color="000000" w:sz="4"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机・テーブル、椅子、キャビネット、ロッカー、寝具、器物台、プランター、車いす、杖、点字ブロック等上記以外の物品</w:t>
            </w:r>
          </w:p>
        </w:tc>
      </w:tr>
      <w:tr>
        <w:trPr>
          <w:trHeight w:val="1020" w:hRule="atLeast"/>
        </w:trPr>
        <w:tc>
          <w:tcPr>
            <w:tcW w:w="510" w:type="pct"/>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tcMar>
              <w:top w:w="0" w:type="dxa"/>
              <w:left w:w="10" w:type="dxa"/>
              <w:bottom w:w="0" w:type="dxa"/>
              <w:right w:w="5" w:type="dxa"/>
            </w:tcMar>
            <w:vAlign w:val="top"/>
          </w:tcPr>
          <w:p>
            <w:pPr>
              <w:pStyle w:val="0"/>
              <w:ind w:firstLine="0" w:firstLineChars="100"/>
              <w:jc w:val="both"/>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役務</w:t>
            </w:r>
          </w:p>
        </w:tc>
        <w:tc>
          <w:tcPr>
            <w:tcW w:w="1633" w:type="pct"/>
            <w:tcBorders>
              <w:top w:val="single" w:color="000000" w:sz="8"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①印刷</w:t>
            </w:r>
          </w:p>
        </w:tc>
        <w:tc>
          <w:tcPr>
            <w:tcW w:w="2857" w:type="pct"/>
            <w:tcBorders>
              <w:top w:val="single" w:color="000000" w:sz="8"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ポスター、チラシ、リーフレット、報告書・冊子、名刺、封筒などの印刷</w:t>
            </w:r>
          </w:p>
        </w:tc>
      </w:tr>
      <w:tr>
        <w:trPr>
          <w:trHeight w:val="84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②クリーニング</w:t>
            </w:r>
          </w:p>
        </w:tc>
        <w:tc>
          <w:tcPr>
            <w:tcW w:w="2857" w:type="pct"/>
            <w:tcBorders>
              <w:top w:val="nil"/>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クリーニング、リネンサプライ　など</w:t>
            </w:r>
          </w:p>
        </w:tc>
      </w:tr>
      <w:tr>
        <w:trPr>
          <w:trHeight w:val="102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③清掃・施設管理</w:t>
            </w:r>
          </w:p>
        </w:tc>
        <w:tc>
          <w:tcPr>
            <w:tcW w:w="2857" w:type="pct"/>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清掃、除草作業、施設管理、駐車場管理、自動販売機管理　など</w:t>
            </w:r>
          </w:p>
        </w:tc>
      </w:tr>
      <w:tr>
        <w:trPr>
          <w:trHeight w:val="102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④情報処理・テープ起こし</w:t>
            </w:r>
          </w:p>
        </w:tc>
        <w:tc>
          <w:tcPr>
            <w:tcW w:w="2857" w:type="pct"/>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ホームページ作成、プログラミング、データ入力・集計、テープ起こし　など</w:t>
            </w:r>
          </w:p>
        </w:tc>
      </w:tr>
      <w:tr>
        <w:trPr>
          <w:trHeight w:val="78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⑤飲食店等の運営</w:t>
            </w:r>
          </w:p>
        </w:tc>
        <w:tc>
          <w:tcPr>
            <w:tcW w:w="2857" w:type="pct"/>
            <w:tcBorders>
              <w:top w:val="single" w:color="000000" w:sz="4" w:space="0"/>
              <w:left w:val="single" w:color="000000" w:sz="4" w:space="0"/>
              <w:bottom w:val="single" w:color="000000" w:sz="4"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売店、レストラン、喫茶店　など</w:t>
            </w:r>
          </w:p>
        </w:tc>
      </w:tr>
      <w:tr>
        <w:trPr>
          <w:trHeight w:val="1020" w:hRule="atLeast"/>
        </w:trPr>
        <w:tc>
          <w:tcPr>
            <w:tcW w:w="510" w:type="pct"/>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rPr>
            </w:pPr>
          </w:p>
        </w:tc>
        <w:tc>
          <w:tcPr>
            <w:tcW w:w="1633" w:type="pct"/>
            <w:tcBorders>
              <w:top w:val="single" w:color="000000" w:sz="4" w:space="0"/>
              <w:left w:val="single" w:color="000000" w:sz="4" w:space="0"/>
              <w:bottom w:val="single" w:color="000000" w:sz="8"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10" w:firstLineChars="10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⑥その他のサービス・役務</w:t>
            </w:r>
          </w:p>
        </w:tc>
        <w:tc>
          <w:tcPr>
            <w:tcW w:w="2857" w:type="pct"/>
            <w:tcBorders>
              <w:top w:val="single" w:color="000000" w:sz="4" w:space="0"/>
              <w:left w:val="single" w:color="000000" w:sz="4" w:space="0"/>
              <w:bottom w:val="single" w:color="000000" w:sz="8" w:space="0"/>
              <w:right w:val="single" w:color="000000" w:sz="8" w:space="0"/>
              <w:tl2br w:val="none" w:color="auto" w:sz="0" w:space="0"/>
              <w:tr2bl w:val="none" w:color="auto" w:sz="0" w:space="0"/>
            </w:tcBorders>
            <w:tcMar>
              <w:top w:w="0" w:type="dxa"/>
              <w:left w:w="5" w:type="dxa"/>
              <w:bottom w:w="0" w:type="dxa"/>
              <w:right w:w="10" w:type="dxa"/>
            </w:tcMar>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b w:val="0"/>
                <w:i w:val="0"/>
                <w:smallCaps w:val="0"/>
                <w:sz w:val="21"/>
              </w:rPr>
              <w:t>仕分け・発送、袋詰・包装・梱包、洗浄、解体、印刷物折り、おしぼり類折り、筆耕、文書の廃棄（シュレッダー）、資源回収・分別　など</w:t>
            </w: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3</Pages>
  <Words>0</Words>
  <Characters>1930</Characters>
  <Application>JUST Note</Application>
  <Lines>710</Lines>
  <Paragraphs>62</Paragraphs>
  <Company>熊野町</Company>
  <CharactersWithSpaces>1996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熊野　孝則</dc:creator>
  <cp:lastModifiedBy>吉宗 詩織</cp:lastModifiedBy>
  <cp:lastPrinted>2024-07-17T05:55:35Z</cp:lastPrinted>
  <dcterms:created xsi:type="dcterms:W3CDTF">2015-05-12T06:12:00Z</dcterms:created>
  <dcterms:modified xsi:type="dcterms:W3CDTF">2024-07-17T05:55:47Z</dcterms:modified>
  <cp:revision>11</cp:revision>
</cp:coreProperties>
</file>